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t xml:space="preserve">Załącznik </w:t>
      </w:r>
      <w:proofErr w:type="spellStart"/>
      <w:r>
        <w:t>nr</w:t>
      </w:r>
      <w:proofErr w:type="spellEnd"/>
      <w:r>
        <w:t xml:space="preserve"> 5 do procedury dla projektów grantowych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ROZLICZANIA GRANTU, MONITORINGU I KONTROLI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w wysokości określonej w § 2 umowy udzielenia grantu zostanie wypłacony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w terminie 30 dni od dnia podjęcia przez Zarząd LGD uchwały dotyczącej ostatecznego zatwierdzenia wniosku o płatność wraz ze sprawozdaniem końcowym </w:t>
      </w:r>
      <w:r>
        <w:rPr>
          <w:rFonts w:ascii="Times New Roman" w:hAnsi="Times New Roman" w:cs="Times New Roman"/>
        </w:rPr>
        <w:br/>
        <w:t xml:space="preserve">z realizacji zadań objętych grantem. </w:t>
      </w:r>
    </w:p>
    <w:p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LGD uzna za </w:t>
      </w:r>
      <w:proofErr w:type="spellStart"/>
      <w:r>
        <w:rPr>
          <w:rFonts w:ascii="Times New Roman" w:hAnsi="Times New Roman" w:cs="Times New Roman"/>
        </w:rPr>
        <w:t>kwalifikowalne</w:t>
      </w:r>
      <w:proofErr w:type="spellEnd"/>
      <w:r>
        <w:rPr>
          <w:rFonts w:ascii="Times New Roman" w:hAnsi="Times New Roman" w:cs="Times New Roman"/>
        </w:rPr>
        <w:t xml:space="preserve"> udokumentowane koszty związane z realizacją grantu zgodnie </w:t>
      </w:r>
      <w:r>
        <w:rPr>
          <w:rFonts w:ascii="Times New Roman" w:hAnsi="Times New Roman" w:cs="Times New Roman"/>
        </w:rPr>
        <w:br/>
        <w:t>z Zestawieniem rzeczowo-finansowym poniesione w okresie rozpoczynającym się w dniu podpisania umowy o powierzenie grantu do ostatniego dnia realizacji grantu, będącego dniem złożenia wniosku o płatność wraz ze sprawozdaniem końcowym. Okres realizacji grantu jest określany w sposób precyzyjny w umowie o powierzenie grantu (§ 3).</w:t>
      </w:r>
    </w:p>
    <w:p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mogą być ponoszone wyłącznie w formie rozliczenia bezgotówkowego. 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powinny być uwzględnione w oddzielnym systemie rachunkowości albo do ich identyfikacji wykorzystano odpowiedni kod rachunkowy lub, gdy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nie jest obowiązany do prowadzenia ksiąg rachunkowych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podstawie odrębnych przepisów, zestawienia </w:t>
      </w: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lub równoważnych dokumentów księgowych sporządzonego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formularzu udostępnionym przez LGD.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Oryginalne dokumenty będące potwierdzeniem poniesionych kosztów (faktury, rachunki, dowody dokonania płatności) dotyczące realizowanej Umowy powinny ponadto:</w:t>
      </w:r>
    </w:p>
    <w:p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 oznaczenie źródeł finansowania tj. zapis „</w:t>
      </w:r>
      <w:r>
        <w:rPr>
          <w:rFonts w:ascii="Times New Roman" w:hAnsi="Times New Roman" w:cs="Times New Roman"/>
          <w:b/>
        </w:rPr>
        <w:t xml:space="preserve">sfinansowano w ramach </w:t>
      </w:r>
      <w:proofErr w:type="spellStart"/>
      <w:r>
        <w:rPr>
          <w:rFonts w:ascii="Times New Roman" w:hAnsi="Times New Roman" w:cs="Times New Roman"/>
          <w:b/>
        </w:rPr>
        <w:t>poddziałania</w:t>
      </w:r>
      <w:proofErr w:type="spellEnd"/>
      <w:r>
        <w:rPr>
          <w:rFonts w:ascii="Times New Roman" w:hAnsi="Times New Roman" w:cs="Times New Roman"/>
          <w:b/>
        </w:rPr>
        <w:t xml:space="preserve"> „Wsparcie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wdrażanie operacji w ramach strategii </w:t>
      </w:r>
      <w:proofErr w:type="spellStart"/>
      <w:r>
        <w:rPr>
          <w:rFonts w:ascii="Times New Roman" w:hAnsi="Times New Roman" w:cs="Times New Roman"/>
          <w:b/>
        </w:rPr>
        <w:t>rozwoju</w:t>
      </w:r>
      <w:proofErr w:type="spellEnd"/>
      <w:r>
        <w:rPr>
          <w:rFonts w:ascii="Times New Roman" w:hAnsi="Times New Roman" w:cs="Times New Roman"/>
          <w:b/>
        </w:rPr>
        <w:t xml:space="preserve"> lokalnego kierowanego przez społeczność” objętego Programem Rozwoju Obszarów Wiejskich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lata 2014-2020 dla operacji realizowanych w ramach projektu grantowego</w:t>
      </w:r>
      <w:r>
        <w:rPr>
          <w:rFonts w:ascii="Times New Roman" w:hAnsi="Times New Roman" w:cs="Times New Roman"/>
        </w:rPr>
        <w:t>”,</w:t>
      </w:r>
    </w:p>
    <w:p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zatwierdzone pod względem merytorycznym i formalno – rachunkowym,</w:t>
      </w:r>
    </w:p>
    <w:p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opisane (w jakim celu zostały poniesione – zgodnie z zestawieniem rzeczowo-finansowym wynikającym z wniosku będącego załącznikiem do umowy o powierzenie grantu)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powinny być ponoszone zgodnie z przepisami o zamówieniach publicznych lub </w:t>
      </w:r>
      <w:r>
        <w:rPr>
          <w:rFonts w:ascii="Times New Roman" w:hAnsi="Times New Roman" w:cs="Times New Roman"/>
        </w:rPr>
        <w:br/>
        <w:t xml:space="preserve">w wyniku wyboru najkorzystniejszej oferty w zakresie danego zadania ujętego w zestawieniu rzeczowo-finansowym spośród ofert otrzymanych od co najmniej 3 niepowiązanych </w:t>
      </w:r>
      <w:r>
        <w:rPr>
          <w:rFonts w:ascii="Times New Roman" w:hAnsi="Times New Roman" w:cs="Times New Roman"/>
        </w:rPr>
        <w:br/>
        <w:t xml:space="preserve">z </w:t>
      </w:r>
      <w:proofErr w:type="spellStart"/>
      <w:r>
        <w:rPr>
          <w:rFonts w:ascii="Times New Roman" w:hAnsi="Times New Roman" w:cs="Times New Roman"/>
        </w:rPr>
        <w:t>grantobiorcą</w:t>
      </w:r>
      <w:proofErr w:type="spellEnd"/>
      <w:r>
        <w:rPr>
          <w:rFonts w:ascii="Times New Roman" w:hAnsi="Times New Roman" w:cs="Times New Roman"/>
        </w:rPr>
        <w:t xml:space="preserve"> osobowo lub kapitałowo dostawców lub wykonawców,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powinny być księgowane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bieżąco.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określonym w umowie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składa wniosek o płatność wraz </w:t>
      </w:r>
      <w:r>
        <w:rPr>
          <w:rFonts w:ascii="Times New Roman" w:hAnsi="Times New Roman" w:cs="Times New Roman"/>
        </w:rPr>
        <w:br/>
        <w:t xml:space="preserve">ze sprawozdaniem końcowym z realizacji zadania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formularzu udostępnionym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stronie internetowej LGD. 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etapie składania wniosku o płatność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powinien załączyć indywidualną interpretację w zakresie podatku VAT, wystawioną przez Izbę Skarbową.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MONITORING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przeprowadzany jest przez pracownika LGD w siedzibie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przeprowadzenia monitoringu ustala pracownik Biura LGD w porozumieniu </w:t>
      </w:r>
      <w:r>
        <w:rPr>
          <w:rFonts w:ascii="Times New Roman" w:hAnsi="Times New Roman" w:cs="Times New Roman"/>
        </w:rPr>
        <w:br/>
        <w:t xml:space="preserve">z </w:t>
      </w:r>
      <w:proofErr w:type="spellStart"/>
      <w:r>
        <w:rPr>
          <w:rFonts w:ascii="Times New Roman" w:hAnsi="Times New Roman" w:cs="Times New Roman"/>
        </w:rPr>
        <w:t>grantobiorcą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ma dwa zakresy: finansowy i merytoryczny.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Monitoring finansowy dotyczy w szczególności wywiązywania się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z umowy udzielenia grantu i zasad rozliczania grantu (w tym ponoszenie kosztów, forma zapłaty, opisywanie dokumentów, konkurencyjność, realizacja części IV wniosku o powierzenie grantu).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merytoryczny dotyczy w szczególności wywiązywania się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z zapisów umowy o powierzenie grantu i wniosku o powierzenie grantu, w tym części II tego wniosku.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przeprowadzany jest wg karty monitoringu.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Niezwłocznie po przeprowadzeniu monitoringu sporządzany jest protokół – w dwóch jednobrzmiących egzemplarzach. Obydwa egzemplarze przekazywane są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do podpisu.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powinien podpisać i odesłać jeden egzemplarz protokołu do siedziby Biura LGD protokół w terminie 7 dni od dnia jego otrzymania. 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i zapisania w protokole nieprawidłowości w realizacji umowy </w:t>
      </w:r>
      <w:r>
        <w:rPr>
          <w:rFonts w:ascii="Times New Roman" w:hAnsi="Times New Roman" w:cs="Times New Roman"/>
        </w:rPr>
        <w:br/>
        <w:t xml:space="preserve">i wywiązywaniu się z jej postanowień, LGD wzywa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do złożenia wyjaśnień i/lub usunięcia nieprawidłowości i/lub wykonania zaleceń z monitoringu w terminie 14 dni </w:t>
      </w:r>
      <w:r>
        <w:rPr>
          <w:rFonts w:ascii="Times New Roman" w:hAnsi="Times New Roman" w:cs="Times New Roman"/>
        </w:rPr>
        <w:br/>
        <w:t>od podpisania protokołu.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Niewykonanie zaleceń z monitoringu lub odmowa poddania się monitoringowi może stanowić przesłankę do rozwiązania umowy o powierzenie grantu zgodnie z § 7 tej umowy.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KONTROLA KOŃCOWA</w:t>
      </w:r>
      <w:r>
        <w:rPr>
          <w:rFonts w:ascii="Times New Roman" w:hAnsi="Times New Roman" w:cs="Times New Roman"/>
        </w:rPr>
        <w:t xml:space="preserve"> 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końcowa przeprowadzana jest przez pracownika LGD w siedzibie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po złożeniu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wniosku o płatność wraz ze sprawozdaniem końcowym </w:t>
      </w:r>
      <w:r>
        <w:rPr>
          <w:rFonts w:ascii="Times New Roman" w:hAnsi="Times New Roman" w:cs="Times New Roman"/>
        </w:rPr>
        <w:br/>
        <w:t>z realizacji zadania.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kontroli jest weryfikacja realizacji celu i wskaźników zadania, a także weryfikacja poniesionych kosztów i prawidłowości realizacji działań. 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przeprowadzonej kontroli sporządza się protokół – w dwóch jednobrzmiących egzemplarzach. Obydwa egzemplarze przekazywane są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do podpisu.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powinien podpisać protokół w terminie 7 dni od dnia otrzymania protokołu. 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wynik kontroli jak i weryfikacja wniosku o płatność są pozytywne – również </w:t>
      </w:r>
      <w:r>
        <w:rPr>
          <w:rFonts w:ascii="Times New Roman" w:hAnsi="Times New Roman" w:cs="Times New Roman"/>
        </w:rPr>
        <w:br/>
        <w:t xml:space="preserve">po złożeniu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wyjaśnień i/lub usunięciu nieprawidłowości i/lub wykonaniu zaleceń pokontrolnych, pracownik LGD rekomenduje Zarządowi LGD rozliczenie objęte wnioskiem o płatność oraz sprawozdanie końcowe dotyczące danego grantu do zatwierdzenia stosowną uchwałą.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 wyniku kontroli nieprawidłowości w realizacji umowy </w:t>
      </w:r>
      <w:r>
        <w:rPr>
          <w:rFonts w:ascii="Times New Roman" w:hAnsi="Times New Roman" w:cs="Times New Roman"/>
        </w:rPr>
        <w:br/>
        <w:t xml:space="preserve">i wywiązywaniu się z jej postanowień LGD wzywa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do złożenia wyjaśnień i/lub usunięcia nieprawidłowości i/lub wykonania zaleceń pokontrolnych terminie 14 dni </w:t>
      </w:r>
      <w:r>
        <w:rPr>
          <w:rFonts w:ascii="Times New Roman" w:hAnsi="Times New Roman" w:cs="Times New Roman"/>
        </w:rPr>
        <w:br/>
        <w:t>od podpisania protokołu.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nie złożył wyjaśnień i/lub nie usunął braków, LGD rozpatruje wniosek </w:t>
      </w:r>
      <w:r>
        <w:rPr>
          <w:rFonts w:ascii="Times New Roman" w:hAnsi="Times New Roman" w:cs="Times New Roman"/>
        </w:rPr>
        <w:br/>
        <w:t xml:space="preserve">o płatność w zakresie, w jakim został złożony do LGD oraz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podstawie dołączonych </w:t>
      </w:r>
      <w:r>
        <w:rPr>
          <w:rFonts w:ascii="Times New Roman" w:hAnsi="Times New Roman" w:cs="Times New Roman"/>
        </w:rPr>
        <w:br/>
        <w:t>do niego i poprawnie sporządzonych załączników.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Niewykonanie zaleceń pokontrolnych lub odmowa poddania się kontroli może stanowić przesłankę do rozwiązania umowy udzielenia grantu zgodnie z § 7 tej umowy. </w:t>
      </w:r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636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b/>
        <w:noProof/>
      </w:rPr>
    </w:pPr>
    <w:r>
      <w:rPr>
        <w:b/>
        <w:noProof/>
      </w:rPr>
      <w:drawing>
        <wp:inline distT="0" distB="0" distL="0" distR="0">
          <wp:extent cx="830580" cy="542925"/>
          <wp:effectExtent l="19050" t="0" r="7620" b="0"/>
          <wp:docPr id="4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1519126" cy="684000"/>
          <wp:effectExtent l="19050" t="0" r="4874" b="0"/>
          <wp:docPr id="2" name="Obraz 1" descr="logo_partnerstwo_sowiogor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nerstwo_sowiogorskie_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12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562501" cy="540000"/>
          <wp:effectExtent l="19050" t="0" r="8999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0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</w:t>
    </w:r>
    <w:r>
      <w:rPr>
        <w:b/>
        <w:noProof/>
      </w:rPr>
      <w:drawing>
        <wp:inline distT="0" distB="0" distL="0" distR="0">
          <wp:extent cx="892800" cy="576000"/>
          <wp:effectExtent l="19050" t="0" r="255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8A"/>
    <w:multiLevelType w:val="hybridMultilevel"/>
    <w:tmpl w:val="6B307EF0"/>
    <w:lvl w:ilvl="0" w:tplc="3D3A5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724C"/>
    <w:multiLevelType w:val="hybridMultilevel"/>
    <w:tmpl w:val="2B303E4A"/>
    <w:lvl w:ilvl="0" w:tplc="30208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36452734"/>
    <w:multiLevelType w:val="hybridMultilevel"/>
    <w:tmpl w:val="A68E17E0"/>
    <w:lvl w:ilvl="0" w:tplc="3A8C7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A9A29DF"/>
    <w:multiLevelType w:val="hybridMultilevel"/>
    <w:tmpl w:val="6674E9BC"/>
    <w:lvl w:ilvl="0" w:tplc="92C4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Iweta Głód</cp:lastModifiedBy>
  <cp:revision>9</cp:revision>
  <cp:lastPrinted>2017-02-03T07:37:00Z</cp:lastPrinted>
  <dcterms:created xsi:type="dcterms:W3CDTF">2017-02-01T14:19:00Z</dcterms:created>
  <dcterms:modified xsi:type="dcterms:W3CDTF">2018-01-22T14:05:00Z</dcterms:modified>
</cp:coreProperties>
</file>